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4" w:rsidRDefault="007D65C4">
      <w:pPr>
        <w:rPr>
          <w:lang w:val="en-GB"/>
        </w:rPr>
      </w:pPr>
    </w:p>
    <w:p w:rsidR="007D65C4" w:rsidRDefault="007D65C4" w:rsidP="00B101E0">
      <w:pPr>
        <w:jc w:val="center"/>
        <w:rPr>
          <w:lang w:val="en-GB"/>
        </w:rPr>
      </w:pPr>
      <w:r>
        <w:rPr>
          <w:lang w:val="en-GB"/>
        </w:rPr>
        <w:t>Ashworth Mansions – Service Charge</w:t>
      </w:r>
    </w:p>
    <w:p w:rsidR="007D65C4" w:rsidRDefault="007D65C4" w:rsidP="00B101E0">
      <w:pPr>
        <w:jc w:val="center"/>
        <w:rPr>
          <w:lang w:val="en-GB"/>
        </w:rPr>
      </w:pPr>
      <w:r>
        <w:rPr>
          <w:lang w:val="en-GB"/>
        </w:rPr>
        <w:t>Explanatory Notes for year ending September 2010</w:t>
      </w:r>
    </w:p>
    <w:p w:rsidR="007D65C4" w:rsidRDefault="007D65C4">
      <w:pPr>
        <w:rPr>
          <w:lang w:val="en-GB"/>
        </w:rPr>
      </w:pPr>
    </w:p>
    <w:p w:rsidR="007D65C4" w:rsidRDefault="007D65C4">
      <w:pPr>
        <w:rPr>
          <w:lang w:val="en-GB"/>
        </w:rPr>
      </w:pPr>
      <w:r>
        <w:rPr>
          <w:lang w:val="en-GB"/>
        </w:rPr>
        <w:t>All flat owners pay a service charge that funds the maintenance and repair of the estate. At the beginning of each year, we estimate the likely expenditure and set a service charge budget that each flat owner pays quarterly. Each flat is allocated a proportion of the total according to its size as set out in your lease.</w:t>
      </w:r>
    </w:p>
    <w:p w:rsidR="007D65C4" w:rsidRDefault="007D65C4">
      <w:pPr>
        <w:rPr>
          <w:lang w:val="en-GB"/>
        </w:rPr>
      </w:pPr>
    </w:p>
    <w:p w:rsidR="007D65C4" w:rsidRDefault="007D65C4">
      <w:pPr>
        <w:rPr>
          <w:lang w:val="en-GB"/>
        </w:rPr>
      </w:pPr>
      <w:r>
        <w:rPr>
          <w:lang w:val="en-GB"/>
        </w:rPr>
        <w:t>The note explains where the money went and highlights key developments.</w:t>
      </w:r>
    </w:p>
    <w:p w:rsidR="007D65C4" w:rsidRDefault="007D65C4">
      <w:pPr>
        <w:rPr>
          <w:lang w:val="en-GB"/>
        </w:rPr>
      </w:pPr>
    </w:p>
    <w:p w:rsidR="007D65C4" w:rsidRDefault="007D65C4">
      <w:pPr>
        <w:rPr>
          <w:lang w:val="en-GB"/>
        </w:rPr>
      </w:pPr>
      <w:r>
        <w:rPr>
          <w:lang w:val="en-GB"/>
        </w:rPr>
        <w:t>We began the first phase of the four year refurbishment of Ashworth Mansions</w:t>
      </w:r>
      <w:r w:rsidR="003F5853">
        <w:rPr>
          <w:lang w:val="en-GB"/>
        </w:rPr>
        <w:t xml:space="preserve"> with the </w:t>
      </w:r>
      <w:r>
        <w:rPr>
          <w:lang w:val="en-GB"/>
        </w:rPr>
        <w:t xml:space="preserve">Elgin Avenue frontage. Consequently, total expenditure rose from £303K to £510K </w:t>
      </w:r>
      <w:r w:rsidR="003F5853">
        <w:rPr>
          <w:lang w:val="en-GB"/>
        </w:rPr>
        <w:t>mainly because</w:t>
      </w:r>
      <w:r>
        <w:rPr>
          <w:lang w:val="en-GB"/>
        </w:rPr>
        <w:t xml:space="preserve"> the major works bill rose from £7K to £210K. Spending on the main service charge account rose by 5% from £242K to £25</w:t>
      </w:r>
      <w:r w:rsidR="00247673">
        <w:rPr>
          <w:lang w:val="en-GB"/>
        </w:rPr>
        <w:t>2</w:t>
      </w:r>
      <w:r>
        <w:rPr>
          <w:lang w:val="en-GB"/>
        </w:rPr>
        <w:t>K while costs of the central h</w:t>
      </w:r>
      <w:r w:rsidR="003F5853">
        <w:rPr>
          <w:lang w:val="en-GB"/>
        </w:rPr>
        <w:t>eating and hot water fell by 6% to £48K.</w:t>
      </w:r>
    </w:p>
    <w:p w:rsidR="007D65C4" w:rsidRDefault="007D65C4">
      <w:pPr>
        <w:rPr>
          <w:lang w:val="en-GB"/>
        </w:rPr>
      </w:pPr>
    </w:p>
    <w:p w:rsidR="007D65C4" w:rsidRDefault="000073E1">
      <w:pPr>
        <w:rPr>
          <w:lang w:val="en-GB"/>
        </w:rPr>
      </w:pPr>
      <w:r w:rsidRPr="000073E1">
        <w:rPr>
          <w:noProof/>
        </w:rPr>
        <w:drawing>
          <wp:inline distT="0" distB="0" distL="0" distR="0">
            <wp:extent cx="4572000" cy="2743200"/>
            <wp:effectExtent l="25400" t="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65C4" w:rsidRDefault="007D65C4">
      <w:pPr>
        <w:rPr>
          <w:lang w:val="en-GB"/>
        </w:rPr>
      </w:pPr>
    </w:p>
    <w:p w:rsidR="007D65C4" w:rsidRDefault="007D65C4">
      <w:pPr>
        <w:rPr>
          <w:lang w:val="en-GB"/>
        </w:rPr>
      </w:pPr>
    </w:p>
    <w:p w:rsidR="007D65C4" w:rsidRDefault="007D65C4">
      <w:pPr>
        <w:rPr>
          <w:lang w:val="en-GB"/>
        </w:rPr>
      </w:pPr>
      <w:r>
        <w:rPr>
          <w:lang w:val="en-GB"/>
        </w:rPr>
        <w:t>Main account</w:t>
      </w:r>
    </w:p>
    <w:p w:rsidR="007D65C4" w:rsidRDefault="007D65C4">
      <w:pPr>
        <w:rPr>
          <w:lang w:val="en-GB"/>
        </w:rPr>
      </w:pPr>
    </w:p>
    <w:p w:rsidR="00247673" w:rsidRDefault="007D65C4">
      <w:pPr>
        <w:rPr>
          <w:lang w:val="en-GB"/>
        </w:rPr>
      </w:pPr>
      <w:r>
        <w:rPr>
          <w:lang w:val="en-GB"/>
        </w:rPr>
        <w:t>Spending on the main account rose by 5% from £241K to £252K. Th</w:t>
      </w:r>
      <w:r w:rsidR="003F5853">
        <w:rPr>
          <w:lang w:val="en-GB"/>
        </w:rPr>
        <w:t xml:space="preserve">e main contributors to the increase were higher spending on </w:t>
      </w:r>
      <w:r>
        <w:rPr>
          <w:lang w:val="en-GB"/>
        </w:rPr>
        <w:t>routine repairs (+£17K</w:t>
      </w:r>
      <w:r w:rsidR="003F5853">
        <w:rPr>
          <w:lang w:val="en-GB"/>
        </w:rPr>
        <w:t xml:space="preserve"> as we reinstated the garden lighting and redecorated the stairwells on the Grantully side</w:t>
      </w:r>
      <w:r>
        <w:rPr>
          <w:lang w:val="en-GB"/>
        </w:rPr>
        <w:t>,</w:t>
      </w:r>
      <w:r w:rsidR="003F5853">
        <w:rPr>
          <w:lang w:val="en-GB"/>
        </w:rPr>
        <w:t>) gardening</w:t>
      </w:r>
      <w:r w:rsidR="00B101E0">
        <w:rPr>
          <w:lang w:val="en-GB"/>
        </w:rPr>
        <w:t xml:space="preserve"> (+</w:t>
      </w:r>
      <w:r w:rsidR="003F5853">
        <w:rPr>
          <w:lang w:val="en-GB"/>
        </w:rPr>
        <w:t>£</w:t>
      </w:r>
      <w:r w:rsidR="00B101E0">
        <w:rPr>
          <w:lang w:val="en-GB"/>
        </w:rPr>
        <w:t xml:space="preserve">3K </w:t>
      </w:r>
      <w:r>
        <w:rPr>
          <w:lang w:val="en-GB"/>
        </w:rPr>
        <w:t>as we pollarded the plane trees, on porterage (+£2K), insurance (+£3K)</w:t>
      </w:r>
      <w:r w:rsidR="003F5853">
        <w:rPr>
          <w:lang w:val="en-GB"/>
        </w:rPr>
        <w:t>. These increases were partially</w:t>
      </w:r>
      <w:r>
        <w:rPr>
          <w:lang w:val="en-GB"/>
        </w:rPr>
        <w:t xml:space="preserve"> offset by lower spending on electricity (-</w:t>
      </w:r>
      <w:r w:rsidR="00247673">
        <w:rPr>
          <w:lang w:val="en-GB"/>
        </w:rPr>
        <w:t>£8K</w:t>
      </w:r>
      <w:r>
        <w:rPr>
          <w:lang w:val="en-GB"/>
        </w:rPr>
        <w:t xml:space="preserve"> </w:t>
      </w:r>
      <w:r w:rsidR="00247673">
        <w:rPr>
          <w:lang w:val="en-GB"/>
        </w:rPr>
        <w:t xml:space="preserve">due to a rebate </w:t>
      </w:r>
      <w:r w:rsidR="003F5853">
        <w:rPr>
          <w:lang w:val="en-GB"/>
        </w:rPr>
        <w:t xml:space="preserve">on </w:t>
      </w:r>
      <w:r w:rsidR="00247673">
        <w:rPr>
          <w:lang w:val="en-GB"/>
        </w:rPr>
        <w:t xml:space="preserve">a faulty meter) and professional fees (-£4K). Managing agent’s fees rose with inflation. We have since re-tendered the gardening contract and are rather pleased with the new gardeners. </w:t>
      </w:r>
    </w:p>
    <w:p w:rsidR="00247673" w:rsidRDefault="00247673">
      <w:pPr>
        <w:rPr>
          <w:lang w:val="en-GB"/>
        </w:rPr>
      </w:pPr>
    </w:p>
    <w:p w:rsidR="000073E1" w:rsidRDefault="00247673">
      <w:pPr>
        <w:rPr>
          <w:lang w:val="en-GB"/>
        </w:rPr>
      </w:pPr>
      <w:r>
        <w:rPr>
          <w:lang w:val="en-GB"/>
        </w:rPr>
        <w:t>We collected £279K in service charges</w:t>
      </w:r>
      <w:r w:rsidR="003F5853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B101E0">
        <w:rPr>
          <w:lang w:val="en-GB"/>
        </w:rPr>
        <w:t>that</w:t>
      </w:r>
      <w:r>
        <w:rPr>
          <w:lang w:val="en-GB"/>
        </w:rPr>
        <w:t xml:space="preserve"> left us a surplus of £27K for the year. This will be added to the reserve fund and used to reduce next September’s bill for phase three of the major works.</w:t>
      </w:r>
    </w:p>
    <w:p w:rsidR="000073E1" w:rsidRDefault="000073E1">
      <w:pPr>
        <w:rPr>
          <w:lang w:val="en-GB"/>
        </w:rPr>
      </w:pPr>
    </w:p>
    <w:p w:rsidR="00247673" w:rsidRDefault="000073E1">
      <w:pPr>
        <w:rPr>
          <w:lang w:val="en-GB"/>
        </w:rPr>
      </w:pPr>
      <w:r w:rsidRPr="000073E1">
        <w:rPr>
          <w:noProof/>
        </w:rPr>
        <w:drawing>
          <wp:inline distT="0" distB="0" distL="0" distR="0">
            <wp:extent cx="5270500" cy="3441075"/>
            <wp:effectExtent l="25400" t="25400" r="1270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673" w:rsidRDefault="00247673">
      <w:pPr>
        <w:rPr>
          <w:lang w:val="en-GB"/>
        </w:rPr>
      </w:pPr>
    </w:p>
    <w:p w:rsidR="00247673" w:rsidRDefault="00247673">
      <w:pPr>
        <w:rPr>
          <w:lang w:val="en-GB"/>
        </w:rPr>
      </w:pPr>
      <w:r>
        <w:rPr>
          <w:lang w:val="en-GB"/>
        </w:rPr>
        <w:t>Major works</w:t>
      </w:r>
    </w:p>
    <w:p w:rsidR="00247673" w:rsidRDefault="00247673">
      <w:pPr>
        <w:rPr>
          <w:lang w:val="en-GB"/>
        </w:rPr>
      </w:pPr>
    </w:p>
    <w:p w:rsidR="00247673" w:rsidRDefault="00247673">
      <w:pPr>
        <w:rPr>
          <w:lang w:val="en-GB"/>
        </w:rPr>
      </w:pPr>
      <w:r>
        <w:rPr>
          <w:lang w:val="en-GB"/>
        </w:rPr>
        <w:t xml:space="preserve">We started the year with £316K in the major works fund. We collected £125K in regular reserve fund contributions plus £175K in special contributions. To this was added interest of £1K and a legal refund of £2K. We spent £210K on the first phase of the major works and rebated £80K to flat owners for the last two year’s overspend. When adding in this year’s surplus of £27K, this left the reserve fund at £355K at </w:t>
      </w:r>
      <w:r w:rsidR="003F5853">
        <w:rPr>
          <w:lang w:val="en-GB"/>
        </w:rPr>
        <w:t>year-end</w:t>
      </w:r>
      <w:r>
        <w:rPr>
          <w:lang w:val="en-GB"/>
        </w:rPr>
        <w:t>. This is sufficient to fund phase two of the major works – the Grantully Road frontage - which commences</w:t>
      </w:r>
      <w:r w:rsidR="00B101E0">
        <w:rPr>
          <w:lang w:val="en-GB"/>
        </w:rPr>
        <w:t xml:space="preserve"> in a few weeks time</w:t>
      </w:r>
      <w:r>
        <w:rPr>
          <w:lang w:val="en-GB"/>
        </w:rPr>
        <w:t>.</w:t>
      </w:r>
    </w:p>
    <w:p w:rsidR="00247673" w:rsidRDefault="00247673">
      <w:pPr>
        <w:rPr>
          <w:lang w:val="en-GB"/>
        </w:rPr>
      </w:pPr>
    </w:p>
    <w:p w:rsidR="00247673" w:rsidRDefault="00247673">
      <w:pPr>
        <w:rPr>
          <w:lang w:val="en-GB"/>
        </w:rPr>
      </w:pPr>
      <w:r>
        <w:rPr>
          <w:lang w:val="en-GB"/>
        </w:rPr>
        <w:t>Central heating</w:t>
      </w:r>
    </w:p>
    <w:p w:rsidR="00247673" w:rsidRDefault="00247673">
      <w:pPr>
        <w:rPr>
          <w:lang w:val="en-GB"/>
        </w:rPr>
      </w:pPr>
    </w:p>
    <w:p w:rsidR="00B101E0" w:rsidRDefault="00247673">
      <w:pPr>
        <w:rPr>
          <w:lang w:val="en-GB"/>
        </w:rPr>
      </w:pPr>
      <w:r>
        <w:rPr>
          <w:lang w:val="en-GB"/>
        </w:rPr>
        <w:t>There is a sp</w:t>
      </w:r>
      <w:r w:rsidR="000073E1">
        <w:rPr>
          <w:lang w:val="en-GB"/>
        </w:rPr>
        <w:t xml:space="preserve">ecial service charge fund that </w:t>
      </w:r>
      <w:r>
        <w:rPr>
          <w:lang w:val="en-GB"/>
        </w:rPr>
        <w:t xml:space="preserve">is paid into only by the flat owners that benefit from the system. Total spending on central heating and hot water fell from £56K to £48K. </w:t>
      </w:r>
    </w:p>
    <w:p w:rsidR="00B101E0" w:rsidRDefault="00B101E0">
      <w:pPr>
        <w:rPr>
          <w:lang w:val="en-GB"/>
        </w:rPr>
      </w:pPr>
    </w:p>
    <w:p w:rsidR="003F5853" w:rsidRDefault="00247673">
      <w:pPr>
        <w:rPr>
          <w:lang w:val="en-GB"/>
        </w:rPr>
      </w:pPr>
      <w:r>
        <w:rPr>
          <w:lang w:val="en-GB"/>
        </w:rPr>
        <w:t xml:space="preserve">The key determinant of spending is how cold the winter and how much the price of gas. </w:t>
      </w:r>
      <w:r w:rsidR="00B101E0">
        <w:rPr>
          <w:lang w:val="en-GB"/>
        </w:rPr>
        <w:t xml:space="preserve">We spent much less on gas (-£13K) although this was partially offset by higher repair bills (+£5K). </w:t>
      </w:r>
      <w:r>
        <w:rPr>
          <w:lang w:val="en-GB"/>
        </w:rPr>
        <w:t>We collected £58K in service charges leaving a surplus for the year of £10K. When added to the reserve contribution of £5K, this le</w:t>
      </w:r>
      <w:r w:rsidR="003F5853">
        <w:rPr>
          <w:lang w:val="en-GB"/>
        </w:rPr>
        <w:t>ft</w:t>
      </w:r>
      <w:r>
        <w:rPr>
          <w:lang w:val="en-GB"/>
        </w:rPr>
        <w:t xml:space="preserve"> a </w:t>
      </w:r>
      <w:r w:rsidR="000073E1">
        <w:rPr>
          <w:lang w:val="en-GB"/>
        </w:rPr>
        <w:t xml:space="preserve">reserve of £40K in this account. After </w:t>
      </w:r>
      <w:r w:rsidR="003F5853">
        <w:rPr>
          <w:lang w:val="en-GB"/>
        </w:rPr>
        <w:t>year-end</w:t>
      </w:r>
      <w:r w:rsidR="000073E1">
        <w:rPr>
          <w:lang w:val="en-GB"/>
        </w:rPr>
        <w:t xml:space="preserve">, we </w:t>
      </w:r>
      <w:r w:rsidR="003F5853">
        <w:rPr>
          <w:lang w:val="en-GB"/>
        </w:rPr>
        <w:t>spent £24K of this reserve to replace the hot water boilers that had reached the end of their lives.</w:t>
      </w:r>
    </w:p>
    <w:p w:rsidR="003F5853" w:rsidRDefault="003F5853">
      <w:pPr>
        <w:rPr>
          <w:lang w:val="en-GB"/>
        </w:rPr>
      </w:pPr>
    </w:p>
    <w:p w:rsidR="003F5853" w:rsidRDefault="003F5853">
      <w:pPr>
        <w:rPr>
          <w:lang w:val="en-GB"/>
        </w:rPr>
      </w:pPr>
    </w:p>
    <w:p w:rsidR="003F5853" w:rsidRDefault="003F5853">
      <w:pPr>
        <w:rPr>
          <w:lang w:val="en-GB"/>
        </w:rPr>
      </w:pPr>
    </w:p>
    <w:p w:rsidR="003F5853" w:rsidRDefault="003F5853">
      <w:pPr>
        <w:rPr>
          <w:lang w:val="en-GB"/>
        </w:rPr>
      </w:pPr>
    </w:p>
    <w:p w:rsidR="003F5853" w:rsidRDefault="003F5853">
      <w:pPr>
        <w:rPr>
          <w:lang w:val="en-GB"/>
        </w:rPr>
      </w:pPr>
    </w:p>
    <w:p w:rsidR="007D65C4" w:rsidRPr="007D65C4" w:rsidRDefault="003F5853">
      <w:pPr>
        <w:rPr>
          <w:lang w:val="en-GB"/>
        </w:rPr>
      </w:pPr>
      <w:r>
        <w:rPr>
          <w:lang w:val="en-GB"/>
        </w:rPr>
        <w:t>AML/GB March 2011</w:t>
      </w:r>
    </w:p>
    <w:sectPr w:rsidR="007D65C4" w:rsidRPr="007D65C4" w:rsidSect="007D65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65C4"/>
    <w:rsid w:val="000073E1"/>
    <w:rsid w:val="00247673"/>
    <w:rsid w:val="003F5853"/>
    <w:rsid w:val="007D65C4"/>
    <w:rsid w:val="008173A7"/>
    <w:rsid w:val="0099314D"/>
    <w:rsid w:val="00B101E0"/>
    <w:rsid w:val="00D405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geoffreybarraclough:Documents:Microsoft%20User%20Data:Office%202008%20AutoRecovery:service%20charge%2009%2010%20(version%20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geoffreybarraclough:Documents:Microsoft%20User%20Data:Office%202008%20AutoRecovery:service%20charge%2009%2010%20(version%2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>
        <c:manualLayout>
          <c:layoutTarget val="inner"/>
          <c:xMode val="edge"/>
          <c:yMode val="edge"/>
          <c:x val="0.142603674540682"/>
          <c:y val="0.210648148148148"/>
          <c:w val="0.463888888888889"/>
          <c:h val="0.773148148148148"/>
        </c:manualLayout>
      </c:layout>
      <c:pieChart>
        <c:varyColors val="1"/>
        <c:ser>
          <c:idx val="0"/>
          <c:order val="0"/>
          <c:dLbls>
            <c:showVal val="1"/>
          </c:dLbls>
          <c:cat>
            <c:strRef>
              <c:f>Sheet1!$C$6:$C$14</c:f>
              <c:strCache>
                <c:ptCount val="9"/>
                <c:pt idx="0">
                  <c:v>Major works</c:v>
                </c:pt>
                <c:pt idx="1">
                  <c:v>Portering</c:v>
                </c:pt>
                <c:pt idx="2">
                  <c:v>Common parts</c:v>
                </c:pt>
                <c:pt idx="3">
                  <c:v>Garden</c:v>
                </c:pt>
                <c:pt idx="4">
                  <c:v>Routine repairs</c:v>
                </c:pt>
                <c:pt idx="5">
                  <c:v>Insurance</c:v>
                </c:pt>
                <c:pt idx="6">
                  <c:v>Professional fees</c:v>
                </c:pt>
                <c:pt idx="7">
                  <c:v>Managing agent</c:v>
                </c:pt>
                <c:pt idx="8">
                  <c:v>Central Heating</c:v>
                </c:pt>
              </c:strCache>
            </c:strRef>
          </c:cat>
          <c:val>
            <c:numRef>
              <c:f>Sheet1!$D$6:$D$14</c:f>
              <c:numCache>
                <c:formatCode>\£#,##0</c:formatCode>
                <c:ptCount val="9"/>
                <c:pt idx="0">
                  <c:v>210318.0</c:v>
                </c:pt>
                <c:pt idx="1">
                  <c:v>44710.0</c:v>
                </c:pt>
                <c:pt idx="2">
                  <c:v>39357.0</c:v>
                </c:pt>
                <c:pt idx="3">
                  <c:v>16603.0</c:v>
                </c:pt>
                <c:pt idx="4">
                  <c:v>51526.0</c:v>
                </c:pt>
                <c:pt idx="5">
                  <c:v>66207.0</c:v>
                </c:pt>
                <c:pt idx="6">
                  <c:v>8023.0</c:v>
                </c:pt>
                <c:pt idx="7">
                  <c:v>26070.0</c:v>
                </c:pt>
                <c:pt idx="8">
                  <c:v>47723.0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spPr>
    <a:ln>
      <a:solidFill>
        <a:schemeClr val="tx1">
          <a:alpha val="0"/>
        </a:schemeClr>
      </a:solidFill>
    </a:ln>
    <a:effectLst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Sheet1!$D$5</c:f>
              <c:strCache>
                <c:ptCount val="1"/>
                <c:pt idx="0">
                  <c:v>09/10</c:v>
                </c:pt>
              </c:strCache>
            </c:strRef>
          </c:tx>
          <c:cat>
            <c:strRef>
              <c:f>Sheet1!$C$6:$C$14</c:f>
              <c:strCache>
                <c:ptCount val="9"/>
                <c:pt idx="0">
                  <c:v>Major works</c:v>
                </c:pt>
                <c:pt idx="1">
                  <c:v>Portering</c:v>
                </c:pt>
                <c:pt idx="2">
                  <c:v>Common parts</c:v>
                </c:pt>
                <c:pt idx="3">
                  <c:v>Garden</c:v>
                </c:pt>
                <c:pt idx="4">
                  <c:v>Routine repairs</c:v>
                </c:pt>
                <c:pt idx="5">
                  <c:v>Insurance</c:v>
                </c:pt>
                <c:pt idx="6">
                  <c:v>Professional fees</c:v>
                </c:pt>
                <c:pt idx="7">
                  <c:v>Managing agent</c:v>
                </c:pt>
                <c:pt idx="8">
                  <c:v>Central Heating</c:v>
                </c:pt>
              </c:strCache>
            </c:strRef>
          </c:cat>
          <c:val>
            <c:numRef>
              <c:f>Sheet1!$D$6:$D$14</c:f>
              <c:numCache>
                <c:formatCode>\£#,##0</c:formatCode>
                <c:ptCount val="9"/>
                <c:pt idx="0">
                  <c:v>210318.0</c:v>
                </c:pt>
                <c:pt idx="1">
                  <c:v>44710.0</c:v>
                </c:pt>
                <c:pt idx="2">
                  <c:v>39357.0</c:v>
                </c:pt>
                <c:pt idx="3">
                  <c:v>16603.0</c:v>
                </c:pt>
                <c:pt idx="4">
                  <c:v>51526.0</c:v>
                </c:pt>
                <c:pt idx="5">
                  <c:v>66207.0</c:v>
                </c:pt>
                <c:pt idx="6">
                  <c:v>8023.0</c:v>
                </c:pt>
                <c:pt idx="7">
                  <c:v>26070.0</c:v>
                </c:pt>
                <c:pt idx="8">
                  <c:v>47723.0</c:v>
                </c:pt>
              </c:numCache>
            </c:numRef>
          </c:val>
        </c:ser>
        <c:ser>
          <c:idx val="1"/>
          <c:order val="1"/>
          <c:tx>
            <c:strRef>
              <c:f>Sheet1!$E$5</c:f>
              <c:strCache>
                <c:ptCount val="1"/>
                <c:pt idx="0">
                  <c:v>08.09</c:v>
                </c:pt>
              </c:strCache>
            </c:strRef>
          </c:tx>
          <c:cat>
            <c:strRef>
              <c:f>Sheet1!$C$6:$C$14</c:f>
              <c:strCache>
                <c:ptCount val="9"/>
                <c:pt idx="0">
                  <c:v>Major works</c:v>
                </c:pt>
                <c:pt idx="1">
                  <c:v>Portering</c:v>
                </c:pt>
                <c:pt idx="2">
                  <c:v>Common parts</c:v>
                </c:pt>
                <c:pt idx="3">
                  <c:v>Garden</c:v>
                </c:pt>
                <c:pt idx="4">
                  <c:v>Routine repairs</c:v>
                </c:pt>
                <c:pt idx="5">
                  <c:v>Insurance</c:v>
                </c:pt>
                <c:pt idx="6">
                  <c:v>Professional fees</c:v>
                </c:pt>
                <c:pt idx="7">
                  <c:v>Managing agent</c:v>
                </c:pt>
                <c:pt idx="8">
                  <c:v>Central Heating</c:v>
                </c:pt>
              </c:strCache>
            </c:strRef>
          </c:cat>
          <c:val>
            <c:numRef>
              <c:f>Sheet1!$E$6:$E$14</c:f>
              <c:numCache>
                <c:formatCode>\£#,##0;[Red]\£#,##0</c:formatCode>
                <c:ptCount val="9"/>
                <c:pt idx="0">
                  <c:v>6665.0</c:v>
                </c:pt>
                <c:pt idx="1">
                  <c:v>42414.0</c:v>
                </c:pt>
                <c:pt idx="2">
                  <c:v>49907.0</c:v>
                </c:pt>
                <c:pt idx="3">
                  <c:v>13116.0</c:v>
                </c:pt>
                <c:pt idx="4">
                  <c:v>33945.0</c:v>
                </c:pt>
                <c:pt idx="5">
                  <c:v>63146.0</c:v>
                </c:pt>
                <c:pt idx="6">
                  <c:v>13018.0</c:v>
                </c:pt>
                <c:pt idx="7">
                  <c:v>25652.0</c:v>
                </c:pt>
                <c:pt idx="8">
                  <c:v>55110.0</c:v>
                </c:pt>
              </c:numCache>
            </c:numRef>
          </c:val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07/08</c:v>
                </c:pt>
              </c:strCache>
            </c:strRef>
          </c:tx>
          <c:cat>
            <c:strRef>
              <c:f>Sheet1!$C$6:$C$14</c:f>
              <c:strCache>
                <c:ptCount val="9"/>
                <c:pt idx="0">
                  <c:v>Major works</c:v>
                </c:pt>
                <c:pt idx="1">
                  <c:v>Portering</c:v>
                </c:pt>
                <c:pt idx="2">
                  <c:v>Common parts</c:v>
                </c:pt>
                <c:pt idx="3">
                  <c:v>Garden</c:v>
                </c:pt>
                <c:pt idx="4">
                  <c:v>Routine repairs</c:v>
                </c:pt>
                <c:pt idx="5">
                  <c:v>Insurance</c:v>
                </c:pt>
                <c:pt idx="6">
                  <c:v>Professional fees</c:v>
                </c:pt>
                <c:pt idx="7">
                  <c:v>Managing agent</c:v>
                </c:pt>
                <c:pt idx="8">
                  <c:v>Central Heating</c:v>
                </c:pt>
              </c:strCache>
            </c:strRef>
          </c:cat>
          <c:val>
            <c:numRef>
              <c:f>Sheet1!$F$6:$F$14</c:f>
              <c:numCache>
                <c:formatCode>\£#,##0</c:formatCode>
                <c:ptCount val="9"/>
                <c:pt idx="0">
                  <c:v>66108.0</c:v>
                </c:pt>
                <c:pt idx="1">
                  <c:v>42653.0</c:v>
                </c:pt>
                <c:pt idx="2">
                  <c:v>44434.0</c:v>
                </c:pt>
                <c:pt idx="3">
                  <c:v>17045.0</c:v>
                </c:pt>
                <c:pt idx="4">
                  <c:v>53095.0</c:v>
                </c:pt>
                <c:pt idx="5">
                  <c:v>59682.0</c:v>
                </c:pt>
                <c:pt idx="6">
                  <c:v>11187.0</c:v>
                </c:pt>
                <c:pt idx="7">
                  <c:v>24873.0</c:v>
                </c:pt>
                <c:pt idx="8">
                  <c:v>38859.0</c:v>
                </c:pt>
              </c:numCache>
            </c:numRef>
          </c:val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06/07</c:v>
                </c:pt>
              </c:strCache>
            </c:strRef>
          </c:tx>
          <c:cat>
            <c:strRef>
              <c:f>Sheet1!$C$6:$C$14</c:f>
              <c:strCache>
                <c:ptCount val="9"/>
                <c:pt idx="0">
                  <c:v>Major works</c:v>
                </c:pt>
                <c:pt idx="1">
                  <c:v>Portering</c:v>
                </c:pt>
                <c:pt idx="2">
                  <c:v>Common parts</c:v>
                </c:pt>
                <c:pt idx="3">
                  <c:v>Garden</c:v>
                </c:pt>
                <c:pt idx="4">
                  <c:v>Routine repairs</c:v>
                </c:pt>
                <c:pt idx="5">
                  <c:v>Insurance</c:v>
                </c:pt>
                <c:pt idx="6">
                  <c:v>Professional fees</c:v>
                </c:pt>
                <c:pt idx="7">
                  <c:v>Managing agent</c:v>
                </c:pt>
                <c:pt idx="8">
                  <c:v>Central Heating</c:v>
                </c:pt>
              </c:strCache>
            </c:strRef>
          </c:cat>
          <c:val>
            <c:numRef>
              <c:f>Sheet1!$G$6:$G$14</c:f>
              <c:numCache>
                <c:formatCode>\£#,##0</c:formatCode>
                <c:ptCount val="9"/>
                <c:pt idx="0">
                  <c:v>159623.0</c:v>
                </c:pt>
                <c:pt idx="1">
                  <c:v>44146.0</c:v>
                </c:pt>
                <c:pt idx="2">
                  <c:v>39714.0</c:v>
                </c:pt>
                <c:pt idx="3">
                  <c:v>17131.0</c:v>
                </c:pt>
                <c:pt idx="4">
                  <c:v>52387.0</c:v>
                </c:pt>
                <c:pt idx="5">
                  <c:v>62933.0</c:v>
                </c:pt>
                <c:pt idx="6">
                  <c:v>19156.0</c:v>
                </c:pt>
                <c:pt idx="7">
                  <c:v>23688.0</c:v>
                </c:pt>
                <c:pt idx="8">
                  <c:v>35006.0</c:v>
                </c:pt>
              </c:numCache>
            </c:numRef>
          </c:val>
        </c:ser>
        <c:ser>
          <c:idx val="4"/>
          <c:order val="4"/>
          <c:tx>
            <c:strRef>
              <c:f>Sheet1!$H$5</c:f>
              <c:strCache>
                <c:ptCount val="1"/>
                <c:pt idx="0">
                  <c:v>05/06</c:v>
                </c:pt>
              </c:strCache>
            </c:strRef>
          </c:tx>
          <c:cat>
            <c:strRef>
              <c:f>Sheet1!$C$6:$C$14</c:f>
              <c:strCache>
                <c:ptCount val="9"/>
                <c:pt idx="0">
                  <c:v>Major works</c:v>
                </c:pt>
                <c:pt idx="1">
                  <c:v>Portering</c:v>
                </c:pt>
                <c:pt idx="2">
                  <c:v>Common parts</c:v>
                </c:pt>
                <c:pt idx="3">
                  <c:v>Garden</c:v>
                </c:pt>
                <c:pt idx="4">
                  <c:v>Routine repairs</c:v>
                </c:pt>
                <c:pt idx="5">
                  <c:v>Insurance</c:v>
                </c:pt>
                <c:pt idx="6">
                  <c:v>Professional fees</c:v>
                </c:pt>
                <c:pt idx="7">
                  <c:v>Managing agent</c:v>
                </c:pt>
                <c:pt idx="8">
                  <c:v>Central Heating</c:v>
                </c:pt>
              </c:strCache>
            </c:strRef>
          </c:cat>
          <c:val>
            <c:numRef>
              <c:f>Sheet1!$H$6:$H$14</c:f>
              <c:numCache>
                <c:formatCode>\£#,##0</c:formatCode>
                <c:ptCount val="9"/>
                <c:pt idx="0">
                  <c:v>86604.0</c:v>
                </c:pt>
                <c:pt idx="1">
                  <c:v>43730.0</c:v>
                </c:pt>
                <c:pt idx="2">
                  <c:v>39965.0</c:v>
                </c:pt>
                <c:pt idx="3">
                  <c:v>14891.0</c:v>
                </c:pt>
                <c:pt idx="4">
                  <c:v>59873.0</c:v>
                </c:pt>
                <c:pt idx="5">
                  <c:v>53852.0</c:v>
                </c:pt>
                <c:pt idx="6">
                  <c:v>10770.0</c:v>
                </c:pt>
                <c:pt idx="7">
                  <c:v>22675.0</c:v>
                </c:pt>
                <c:pt idx="8">
                  <c:v>60351.0</c:v>
                </c:pt>
              </c:numCache>
            </c:numRef>
          </c:val>
        </c:ser>
        <c:ser>
          <c:idx val="5"/>
          <c:order val="5"/>
          <c:tx>
            <c:strRef>
              <c:f>Sheet1!$I$5</c:f>
              <c:strCache>
                <c:ptCount val="1"/>
                <c:pt idx="0">
                  <c:v>04/05</c:v>
                </c:pt>
              </c:strCache>
            </c:strRef>
          </c:tx>
          <c:cat>
            <c:strRef>
              <c:f>Sheet1!$C$6:$C$14</c:f>
              <c:strCache>
                <c:ptCount val="9"/>
                <c:pt idx="0">
                  <c:v>Major works</c:v>
                </c:pt>
                <c:pt idx="1">
                  <c:v>Portering</c:v>
                </c:pt>
                <c:pt idx="2">
                  <c:v>Common parts</c:v>
                </c:pt>
                <c:pt idx="3">
                  <c:v>Garden</c:v>
                </c:pt>
                <c:pt idx="4">
                  <c:v>Routine repairs</c:v>
                </c:pt>
                <c:pt idx="5">
                  <c:v>Insurance</c:v>
                </c:pt>
                <c:pt idx="6">
                  <c:v>Professional fees</c:v>
                </c:pt>
                <c:pt idx="7">
                  <c:v>Managing agent</c:v>
                </c:pt>
                <c:pt idx="8">
                  <c:v>Central Heating</c:v>
                </c:pt>
              </c:strCache>
            </c:strRef>
          </c:cat>
          <c:val>
            <c:numRef>
              <c:f>Sheet1!$I$6:$I$14</c:f>
              <c:numCache>
                <c:formatCode>\£#,##0</c:formatCode>
                <c:ptCount val="9"/>
                <c:pt idx="0">
                  <c:v>12114.0</c:v>
                </c:pt>
                <c:pt idx="1">
                  <c:v>28723.0</c:v>
                </c:pt>
                <c:pt idx="2">
                  <c:v>38637.0</c:v>
                </c:pt>
                <c:pt idx="3">
                  <c:v>20162.0</c:v>
                </c:pt>
                <c:pt idx="4">
                  <c:v>40665.0</c:v>
                </c:pt>
                <c:pt idx="5">
                  <c:v>57406.0</c:v>
                </c:pt>
                <c:pt idx="6">
                  <c:v>11293.0</c:v>
                </c:pt>
                <c:pt idx="7">
                  <c:v>16534.0</c:v>
                </c:pt>
                <c:pt idx="8">
                  <c:v>35203.0</c:v>
                </c:pt>
              </c:numCache>
            </c:numRef>
          </c:val>
        </c:ser>
        <c:ser>
          <c:idx val="6"/>
          <c:order val="6"/>
          <c:tx>
            <c:strRef>
              <c:f>Sheet1!$J$5</c:f>
              <c:strCache>
                <c:ptCount val="1"/>
                <c:pt idx="0">
                  <c:v>03/04</c:v>
                </c:pt>
              </c:strCache>
            </c:strRef>
          </c:tx>
          <c:cat>
            <c:strRef>
              <c:f>Sheet1!$C$6:$C$14</c:f>
              <c:strCache>
                <c:ptCount val="9"/>
                <c:pt idx="0">
                  <c:v>Major works</c:v>
                </c:pt>
                <c:pt idx="1">
                  <c:v>Portering</c:v>
                </c:pt>
                <c:pt idx="2">
                  <c:v>Common parts</c:v>
                </c:pt>
                <c:pt idx="3">
                  <c:v>Garden</c:v>
                </c:pt>
                <c:pt idx="4">
                  <c:v>Routine repairs</c:v>
                </c:pt>
                <c:pt idx="5">
                  <c:v>Insurance</c:v>
                </c:pt>
                <c:pt idx="6">
                  <c:v>Professional fees</c:v>
                </c:pt>
                <c:pt idx="7">
                  <c:v>Managing agent</c:v>
                </c:pt>
                <c:pt idx="8">
                  <c:v>Central Heating</c:v>
                </c:pt>
              </c:strCache>
            </c:strRef>
          </c:cat>
          <c:val>
            <c:numRef>
              <c:f>Sheet1!$J$6:$J$14</c:f>
              <c:numCache>
                <c:formatCode>\£#,##0</c:formatCode>
                <c:ptCount val="9"/>
                <c:pt idx="0">
                  <c:v>133053.0</c:v>
                </c:pt>
                <c:pt idx="1">
                  <c:v>30974.0</c:v>
                </c:pt>
                <c:pt idx="2">
                  <c:v>33724.0</c:v>
                </c:pt>
                <c:pt idx="3">
                  <c:v>5107.0</c:v>
                </c:pt>
                <c:pt idx="4">
                  <c:v>26345.0</c:v>
                </c:pt>
                <c:pt idx="5">
                  <c:v>60092.0</c:v>
                </c:pt>
                <c:pt idx="6">
                  <c:v>6345.0</c:v>
                </c:pt>
                <c:pt idx="7">
                  <c:v>18506.0</c:v>
                </c:pt>
                <c:pt idx="8">
                  <c:v>23636.0</c:v>
                </c:pt>
              </c:numCache>
            </c:numRef>
          </c:val>
        </c:ser>
        <c:axId val="618738504"/>
        <c:axId val="618931368"/>
      </c:barChart>
      <c:catAx>
        <c:axId val="618738504"/>
        <c:scaling>
          <c:orientation val="minMax"/>
        </c:scaling>
        <c:axPos val="b"/>
        <c:tickLblPos val="nextTo"/>
        <c:crossAx val="618931368"/>
        <c:crosses val="autoZero"/>
        <c:auto val="1"/>
        <c:lblAlgn val="ctr"/>
        <c:lblOffset val="100"/>
      </c:catAx>
      <c:valAx>
        <c:axId val="618931368"/>
        <c:scaling>
          <c:orientation val="minMax"/>
        </c:scaling>
        <c:axPos val="l"/>
        <c:majorGridlines/>
        <c:numFmt formatCode="\£#,##0" sourceLinked="1"/>
        <c:tickLblPos val="nextTo"/>
        <c:crossAx val="618738504"/>
        <c:crosses val="autoZero"/>
        <c:crossBetween val="between"/>
      </c:valAx>
      <c:spPr>
        <a:ln>
          <a:solidFill>
            <a:schemeClr val="tx1">
              <a:alpha val="0"/>
            </a:schemeClr>
          </a:solidFill>
        </a:ln>
      </c:spPr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Macintosh Word</Application>
  <DocSecurity>0</DocSecurity>
  <Lines>20</Lines>
  <Paragraphs>4</Paragraphs>
  <ScaleCrop>false</ScaleCrop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Barraclough</dc:creator>
  <cp:keywords/>
  <cp:lastModifiedBy>Geoffrey Barraclough</cp:lastModifiedBy>
  <cp:revision>2</cp:revision>
  <dcterms:created xsi:type="dcterms:W3CDTF">2011-08-21T19:47:00Z</dcterms:created>
  <dcterms:modified xsi:type="dcterms:W3CDTF">2011-08-21T19:47:00Z</dcterms:modified>
</cp:coreProperties>
</file>